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33600E" w:rsidRDefault="0033600E" w:rsidP="0033600E">
      <w:pPr>
        <w:tabs>
          <w:tab w:val="left" w:pos="14656"/>
        </w:tabs>
        <w:jc w:val="center"/>
        <w:rPr>
          <w:b/>
          <w:sz w:val="20"/>
          <w:szCs w:val="20"/>
          <w:lang w:eastAsia="lt-LT"/>
        </w:rPr>
      </w:pPr>
      <w:r>
        <w:rPr>
          <w:b/>
          <w:lang w:eastAsia="lt-LT"/>
        </w:rPr>
        <w:t>KLAIPĖDOS JŪRŲ KADETŲ MOKYKLOS</w:t>
      </w:r>
    </w:p>
    <w:p w:rsidR="0033600E" w:rsidRDefault="0033600E" w:rsidP="0033600E">
      <w:pPr>
        <w:jc w:val="center"/>
        <w:rPr>
          <w:b/>
          <w:lang w:eastAsia="lt-LT"/>
        </w:rPr>
      </w:pPr>
      <w:r>
        <w:rPr>
          <w:b/>
          <w:lang w:eastAsia="lt-LT"/>
        </w:rPr>
        <w:t>2021 METŲ VEIKLOS ATASKAITA</w:t>
      </w:r>
    </w:p>
    <w:p w:rsidR="00832CC9" w:rsidRPr="00F72A1E" w:rsidRDefault="00832CC9" w:rsidP="0006079E">
      <w:pPr>
        <w:jc w:val="cente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5"/>
      </w:tblGrid>
      <w:tr w:rsidR="0033600E" w:rsidTr="00F044C5">
        <w:tc>
          <w:tcPr>
            <w:tcW w:w="9775" w:type="dxa"/>
            <w:tcBorders>
              <w:top w:val="nil"/>
              <w:left w:val="nil"/>
              <w:bottom w:val="nil"/>
              <w:right w:val="nil"/>
            </w:tcBorders>
            <w:hideMark/>
          </w:tcPr>
          <w:p w:rsidR="0033600E" w:rsidRDefault="0033600E" w:rsidP="00F044C5">
            <w:pPr>
              <w:spacing w:line="256" w:lineRule="auto"/>
              <w:ind w:firstLine="601"/>
              <w:jc w:val="both"/>
            </w:pPr>
            <w:r>
              <w:t xml:space="preserve">Klaipėdos jūrų kadetų mokykla (toliau – Mokykla) įgyvendina pagrindinio ugdymo I ir II dalies programas, neformaliojo vaikų švietimo programas, taiko Jūrų kadetų ugdymo sampratos, patvirtintos Lietuvos Respublikos švietimo, mokslo ir sporto ministro 2018-11-15 įsakymu Nr. V-902, elementus. 2021-09-01 duomenimis Mokykloje buvo sukomplektuota 10 klasių (2020 m. – 7), mokėsi 172 mokiniai (2020 m. – 123), iš jų 139 mokiniai 5–8 klasėse, 33 mokiniai 9–10 klasėse. Dirbo 32 pedagogai, t. y. 23,36  pareigybės (2020 m. – 16,79 pareigybės), 6 neformaliojo švietimo mokytojai (4,5 pareigybės), įgyvendinantys Jūreivystės, laivybos ir karybos pagrindų programą, bei 15 nepedagoginių darbuotojų, t. y. 16,75 pareigybės. </w:t>
            </w:r>
          </w:p>
          <w:p w:rsidR="0033600E" w:rsidRDefault="0033600E" w:rsidP="00F044C5">
            <w:pPr>
              <w:spacing w:line="256" w:lineRule="auto"/>
              <w:ind w:firstLine="603"/>
              <w:jc w:val="both"/>
            </w:pPr>
            <w:r>
              <w:t>Praėjusiais metais Mokykla veikė, vadovaudamasi 2021–2023 m. strateginiu planu (toliau – Strateginis planas) ir 2021 m. veiklos planu (toliau – Veiklos planas). Mokyklos bendruomenė  2021 m. išsikėlė šias prioritetinės veiklos kryptis: 1) kokybiško ugdymo užtikrinimas, efektyvinant mokinių pasiekimų ir pažangos vertinimą ir tobulinant pedagogų skaitmeninį raštingumą; 2) bendruomenės lyderystės, pagrįstos aktyvia savivalda ir socialine partneryste, gebėjimų didinimas; 3) saugios ir šiuolaikinius ugdymo(si) poreikius atitinkančios aplinkos kūrimas</w:t>
            </w:r>
            <w:r>
              <w:rPr>
                <w:bCs/>
              </w:rPr>
              <w:t>.</w:t>
            </w:r>
            <w:r>
              <w:t xml:space="preserve"> Strateginiame ir Veiklos planuose buvo iškelti konkretūs veiklos tikslai ir uždaviniai, numatytos pamatuotos priemonės laukiamam rezultatui pasiekti.</w:t>
            </w:r>
          </w:p>
          <w:p w:rsidR="0033600E" w:rsidRDefault="0033600E" w:rsidP="00F044C5">
            <w:pPr>
              <w:spacing w:line="256" w:lineRule="auto"/>
              <w:ind w:firstLine="720"/>
              <w:jc w:val="both"/>
              <w:rPr>
                <w:bCs/>
                <w:szCs w:val="20"/>
              </w:rPr>
            </w:pPr>
            <w:r>
              <w:t>Siekiant Strateginio plano pirmojo tikslo –</w:t>
            </w:r>
            <w:r>
              <w:rPr>
                <w:bCs/>
              </w:rPr>
              <w:t xml:space="preserve"> tobulinti ugdymo proceso kokybę, akcentuojant kiekvieno mokinio pažangą – </w:t>
            </w:r>
            <w:r>
              <w:t xml:space="preserve">Mokyklos veikla buvo orientuojama į palankių sąlygų aktyviam kiekvieno mokinio mokymuisi sudarymą, </w:t>
            </w:r>
            <w:r>
              <w:rPr>
                <w:bCs/>
              </w:rPr>
              <w:t>pažangos ir pasiekimų vertinimo bei įsivertinimo, naudojimosi skaitmeninėmis technologijomis kompetencijų stiprinimą. Tikslams pasiekti buvo vykdomi trys Veiklos plano uždaviniai.</w:t>
            </w:r>
          </w:p>
          <w:p w:rsidR="0033600E" w:rsidRDefault="0033600E" w:rsidP="00F044C5">
            <w:pPr>
              <w:spacing w:line="256" w:lineRule="auto"/>
              <w:ind w:firstLine="720"/>
              <w:jc w:val="both"/>
            </w:pPr>
            <w:r>
              <w:t xml:space="preserve">Įgyvendinant pirmąjį uždavinį – ugdyti mokinių mokėjimo mokytis kompetencijas,  taikant aktyviuosius mokymo(si) metodus, efektyvinant informacinių technologijų panaudojimą – pedagogai nuolat tobulino kvalifikaciją, bendruomenės nariai operatyviai buvo supažindinami su naujausiais teisės aktais, normatyviniais dokumentais, švietimo naujovėmis. 2021 metais 100 proc. mokinių perkelta į aukštesnę klasę su visų mokomųjų dalykų teigiamais įvertinamais, papildomų darbų poreikio nebuvo. Lyginant 2020 m. ir 2021 m. rezultatus, 5–9 klasių mokinių pažangumas išaugo nuo 97,62 proc. iki 100 proc., t. y.  2,38 proc. sumažėjo nepažangių mokinių. Mokykloje susitarta stebėti ir analizuoti individualią kiekvieno mokinio pažangą, teikti reikalingą pagalbą. Mokiniams, kuriems buvo reikalinga mokymosi pagalba, 2021 m. balandžio–gegužės mėn. bei lapkričio–gruodžio mėn. vyko 245 konsultacijos mokymosi praradimams dėl COVID-19 pandemijos kompensuoti. Jūreivystės, laivybos ir karybos pagrindų ugdymo programoje dalyvavo visi mokiniai, 2021 m. šią programą sudarančioms neformaliojo švietimo veikloms 5–9 klasėse buvo skirta 2220 valandų. Kartu su Lietuvos jūrų muziejumi įrengtoje „Laivo fizikos klasėje“ Lietuvos jūrų muziejaus specialistai mokiniams vedė edukacijas, instruktavo mokytojus tolimesniam patyriminiam mokymui. Metodinė veikla organizuota taip, kad mokytojai galėtų aktyviai bendradarbiauti, dalintis gerąja darbo patirtimi, skleisti pedagogines ir metodines naujoves. Posėdžiuose aptarta mokinio veiklos vertinimo ir įsivertinimo svarba ugdymo procese, mokinių mokymosi pasiekimams turintys veiksniai, efektyviausi mokinio pažangos ir įsivertinimo fiksavimo būdai ir metodai, aktyviųjų mokymo(si) metodų ir informacinių technologijų priemonių naudojimo pamokose tikslingumas bei įtaka mokinio pažangai, namų darbų ir pamokos turinio </w:t>
            </w:r>
            <w:r>
              <w:lastRenderedPageBreak/>
              <w:t xml:space="preserve">dermė. 2021 m. kvalifikaciją kiekvienas pedagogas tobulino vidutiniškai 4 dienas, atsižvelgiant į poreikius ir aktualijas, visiems pedagogams organizuoti seminarai </w:t>
            </w:r>
            <w:r>
              <w:rPr>
                <w:highlight w:val="white"/>
              </w:rPr>
              <w:t xml:space="preserve">,,Efektyvi hibridinė pamoka turint minimalius techninius išteklius”, </w:t>
            </w:r>
            <w:r>
              <w:t>,,</w:t>
            </w:r>
            <w:r>
              <w:rPr>
                <w:highlight w:val="white"/>
              </w:rPr>
              <w:t>Mokinių vertinimas. Praktinė kelionė mokinių vertinimo validumo ir efektyvumo link”</w:t>
            </w:r>
            <w:r>
              <w:t>. Visi pedagogai dalyvavo psichoaktyviųjų medžiagų vartojimo prevencijos programos „Savu keliu“ mokymuose. Daug dėmesio skirta mokinių ugdymui netradicinėse erdvėse. Vyko pamokos ir neformaliojo ugdymo veiklos Lietuvos aukštojoje jūreivystės mokykloje, Klaipėdos Mažosios Lietuvos istorijos, Lietuvos jūrų, Klaipėdos laikrodžių muziejuose, Klaipėdos universiteto buriniuose laivuose, Lietuvos Didžiojo kunigaikščio Butigeidžio dragūnų pėstininkų batalione. Buvo suorganizuota 12 renginių pagal „Kultūros paso“ programą.</w:t>
            </w:r>
          </w:p>
          <w:p w:rsidR="0033600E" w:rsidRDefault="0033600E" w:rsidP="00F044C5">
            <w:pPr>
              <w:shd w:val="clear" w:color="auto" w:fill="FFFFFF"/>
              <w:spacing w:line="256" w:lineRule="auto"/>
              <w:ind w:firstLine="720"/>
              <w:jc w:val="both"/>
            </w:pPr>
            <w:r>
              <w:t>Įgyvendinant antrąjį uždavinį – ugdyti mokinių socialines kompetencijas, kurti saugią emocinę ir kultūrinę aplinką – organizuota 17 vaiko gerovės komisijos posėdžių, kuriuose tobulinta mokinių atsakomybės ir skatinimo sistema, aptartos kadetų elgesio problemos pamokų ir pertraukų metu, pagalbos teikimas mokiniams, kuriems reikalinga mokymosi pagalba, psichoaktyviųjų medžiagų vartojimo prevencinės programos ,,Savu keliu” vykdymo gairės, veiklų, skirtų mokinių emocinės gerovės stiprinimui, bendruomenės tarpusavio santykių gerinimui, organizavimas ir vykdymas. Socialiniai pedagogai vykdė</w:t>
            </w:r>
            <w:r>
              <w:rPr>
                <w:rFonts w:ascii="Georgia" w:eastAsia="Georgia" w:hAnsi="Georgia" w:cs="Georgia"/>
              </w:rPr>
              <w:t xml:space="preserve"> </w:t>
            </w:r>
            <w:r>
              <w:t>213 pokalbių ir konsultacijų mokiniams, 63 – mokytojams, 63 – tėvams, 30 klasės valandėlių saugumo internete, patyčių, psichotropinių medžiagų vartojimo prevencijos temomis,  organizavo grupės formavimo veiklas. Organizuoti prevenciniai renginiai bei akcijos („Gimėme nerūkantys“, „Griauname alkoholio mitus“, „Priklausomybėms sakome Ne“), aktyviai dalyvauta šalies iniciatyvose („Be patyčių 2021“), socialinėse bei pilietinėse kampanijose („Praleisk progą pasityčioti”), sąmoningumo didinimo akcijoje „Padėkime žemei atsigauti”, Europos judumo savaitės ir kituose renginiuose. Siekiant stiprinti mokinių emocinę sveikatą, kiekvieną mėnesį vyko teminės veiklos mokinių emocinės gerovės stiprinimui, bendruomenės tarpusavio santykių gerinimui (,,Sausis – dėkingumo mėnuo”, „Vasaris – draugystės mėnuo”, „Kovas – atjautos mėnuo” ir pan. ), organizuoti 6 tiksliniai renginiai pagal Geros savijautos programą. Klaipėdos apskrities Vyriausiojo policijos komisariato Bendruomenės pareigūnai mokiniams skaitė paskaitas apie nepilnamečiams taikomą baudžiamąją bei administracinę</w:t>
            </w:r>
            <w:r>
              <w:rPr>
                <w:highlight w:val="white"/>
              </w:rPr>
              <w:t xml:space="preserve"> atsakomybę, apie saugumą kelyje, Klaipėdos miesto visuomenės sveikatos biuro specialistai mokiniams organizavo veiklas žalingų įpročių prevencijos, lytiškumo temomis, tėvams skaitė paskaitą apie ankstyvąją psichotropinių medžiagų prevenciją. 2021 m. Mokykla pradėjo įgyvendinti </w:t>
            </w:r>
            <w:r>
              <w:t xml:space="preserve">psichoaktyviųjų medžiagų vartojimo prevencijos programą „Savu keliu“. Organizuotos veiklos, skirtos mokinių ugdymui karjerai. Mokiniai dalyvavo </w:t>
            </w:r>
            <w:r>
              <w:rPr>
                <w:highlight w:val="white"/>
              </w:rPr>
              <w:t>nuotolinėje pamokoje-</w:t>
            </w:r>
            <w:r>
              <w:t xml:space="preserve">konferencijoje „Mokonomika“, </w:t>
            </w:r>
            <w:r>
              <w:rPr>
                <w:color w:val="212529"/>
              </w:rPr>
              <w:t>nuotoliniuose s</w:t>
            </w:r>
            <w:r>
              <w:t xml:space="preserve">usitikimuose su Kauno apskrities viešosios bibliotekos, Valstybės sienos apsaugos tarnybos Pagėgių pasienio rinktinės specialistais, Lietuvos aukštosios jūreivystės mokyklos Išgyvenimo </w:t>
            </w:r>
            <w:r>
              <w:rPr>
                <w:highlight w:val="white"/>
              </w:rPr>
              <w:t xml:space="preserve">jūroje laboratorijos baseine mokėsi išgyventi vandenyje ir gelbėjimo veiksmų. </w:t>
            </w:r>
            <w:r>
              <w:t>Karinių jūrų pajėgų karo laivų</w:t>
            </w:r>
            <w:r>
              <w:rPr>
                <w:highlight w:val="white"/>
              </w:rPr>
              <w:t xml:space="preserve"> flotilėje susipažino su karo laivais ir karo jūrininkų profesijomis, </w:t>
            </w:r>
            <w:r>
              <w:t xml:space="preserve">JAV armijos Civilinių reikalų komandos nariai skaitė paskaitas mokiniams apie veiklą Baltijos šalyse ir bendradarbiavimą su Lietuvos kariuomene, Generolo Jono Žemaičio Lietuvos karo akademijos atstovai supažindino 9–10 klasių mokinius su Lietuvos karo akademijos veikla, priėmimo tvarka ir studijų galimybėmis. </w:t>
            </w:r>
          </w:p>
          <w:p w:rsidR="0033600E" w:rsidRDefault="0033600E" w:rsidP="00F044C5">
            <w:pPr>
              <w:shd w:val="clear" w:color="auto" w:fill="FFFFFF"/>
              <w:spacing w:line="256" w:lineRule="auto"/>
              <w:ind w:firstLine="720"/>
              <w:jc w:val="both"/>
            </w:pPr>
            <w:r>
              <w:t xml:space="preserve">Įgyvendinant trečiąjį uždavinį – formuoti mokinių vertybines nuostatas, puoselėjant pilietiškumą, jūrinį mentalitetą ir tautinį tapatumą – organizuotos veiklos, skatinančios pilietiškumą, bendruomeniškumą bei jūrines tradicijas: Laisvės gynėjų dienos 30 metų sukakties minėjimas, dalyvavimas šalies pilietinėse iniciatyvose </w:t>
            </w:r>
            <w:r>
              <w:rPr>
                <w:highlight w:val="white"/>
              </w:rPr>
              <w:t>,,Atmintis gyva, nes liudija“, ,,Gyvybės medis”, „Tolerancijos miestas“. Mokykla organizavo pilietinę akciją ,,</w:t>
            </w:r>
            <w:r>
              <w:t>Žodis laisvai Lietuvai</w:t>
            </w:r>
            <w:r>
              <w:rPr>
                <w:highlight w:val="white"/>
              </w:rPr>
              <w:t>”</w:t>
            </w:r>
            <w:r>
              <w:t>, virtualią šeimų viktoriną „Ką žinau apie Lietuvą?“,</w:t>
            </w:r>
            <w:r>
              <w:rPr>
                <w:b/>
              </w:rPr>
              <w:t xml:space="preserve"> </w:t>
            </w:r>
            <w:r>
              <w:t>fotografijų konkursą „Kadetai švenčia Lietuvos gimtadienį“,</w:t>
            </w:r>
            <w:r>
              <w:rPr>
                <w:b/>
              </w:rPr>
              <w:t xml:space="preserve"> </w:t>
            </w:r>
            <w:r>
              <w:t xml:space="preserve">Klaipėdos mokyklų mokiniams organizuota </w:t>
            </w:r>
            <w:r>
              <w:rPr>
                <w:color w:val="000000"/>
              </w:rPr>
              <w:t xml:space="preserve">8 klasių mokinių lietuvių kalbos olimpiada, tarpmokyklinis </w:t>
            </w:r>
            <w:r>
              <w:rPr>
                <w:color w:val="050505"/>
                <w:highlight w:val="white"/>
              </w:rPr>
              <w:t xml:space="preserve">konkursas „Lietuva </w:t>
            </w:r>
            <w:r>
              <w:t>–</w:t>
            </w:r>
            <w:r>
              <w:rPr>
                <w:color w:val="050505"/>
                <w:highlight w:val="white"/>
              </w:rPr>
              <w:t xml:space="preserve"> jūrinė valstybė“.</w:t>
            </w:r>
            <w:r>
              <w:t xml:space="preserve"> Dalyvauta Mažosios Lietuvos </w:t>
            </w:r>
            <w:r>
              <w:lastRenderedPageBreak/>
              <w:t xml:space="preserve">istorijos muziejaus viktorinoje „Sausio įvykiai Klaipėdoje 1923 metais“ bei </w:t>
            </w:r>
            <w:r>
              <w:rPr>
                <w:highlight w:val="white"/>
              </w:rPr>
              <w:t xml:space="preserve">tradiciniame pėsčiųjų nakties žygyje </w:t>
            </w:r>
            <w:r>
              <w:t>„Sukilėlių takais“, aktyviai įsijungta į L</w:t>
            </w:r>
            <w:r>
              <w:rPr>
                <w:highlight w:val="white"/>
              </w:rPr>
              <w:t>ietuvos jūrų muziejaus organizuotą</w:t>
            </w:r>
            <w:r>
              <w:t xml:space="preserve"> </w:t>
            </w:r>
            <w:r>
              <w:rPr>
                <w:highlight w:val="white"/>
              </w:rPr>
              <w:t xml:space="preserve">jaunimo projektą „14 m³ 2050 Baltijos ‒ distopija ar realybė?“, vykdytą pagal  projektą „Klaipėda ‒ Europos jaunimo sostinė 2021“. Grupė kadetų </w:t>
            </w:r>
            <w:r>
              <w:rPr>
                <w:color w:val="222222"/>
                <w:highlight w:val="white"/>
              </w:rPr>
              <w:t xml:space="preserve">Klaipėdos universiteto jachtos „Odisėja“ įgulos sudėtyje dalyvavo </w:t>
            </w:r>
            <w:r>
              <w:t>Baltijos šalių burlaivių lenktynėse „Baltic Regatta 2021“.</w:t>
            </w:r>
          </w:p>
          <w:p w:rsidR="0033600E" w:rsidRDefault="0033600E" w:rsidP="00F044C5">
            <w:pPr>
              <w:shd w:val="clear" w:color="auto" w:fill="FFFFFF"/>
              <w:spacing w:line="256" w:lineRule="auto"/>
              <w:ind w:firstLine="720"/>
              <w:jc w:val="both"/>
            </w:pPr>
            <w:r>
              <w:t xml:space="preserve">Siekiant Strateginio plano antrojo tikslo – </w:t>
            </w:r>
            <w:r>
              <w:rPr>
                <w:bCs/>
              </w:rPr>
              <w:t xml:space="preserve">įgyvendinant Jūrų kadetų ugdymo sampratos elementus, formuoti savitą, bendradarbiavimu ir susitarimais grįstą mokyklos kultūrą – vienas iš uždavinių buvo skatinti </w:t>
            </w:r>
            <w:r>
              <w:t>bendruomenę partnerystei bei lyderystei. Įgyvendinant šį uždavinį, įvairiomis priemonėmis buvo plėtojamas</w:t>
            </w:r>
            <w:r>
              <w:rPr>
                <w:lang w:eastAsia="lt-LT"/>
              </w:rPr>
              <w:t xml:space="preserve"> bendrojo ugdymo, neformaliojo švietimo mokytojų, pagalbos mokiniui specialistų ir tėvų kultūringas ir pagarbus bendradarbiavimas, skatinama savivaldos institucijų veikla, stiprinami ryšiai su socialiniais partneriais. </w:t>
            </w:r>
          </w:p>
          <w:p w:rsidR="0033600E" w:rsidRDefault="0033600E" w:rsidP="00F044C5">
            <w:pPr>
              <w:tabs>
                <w:tab w:val="left" w:pos="709"/>
                <w:tab w:val="left" w:pos="1134"/>
              </w:tabs>
              <w:spacing w:line="256" w:lineRule="auto"/>
              <w:ind w:firstLine="743"/>
              <w:jc w:val="both"/>
            </w:pPr>
            <w:r>
              <w:t>Įgyvendinant antrąjį uždavinį – pertvarkant ir atnaujinant turimas aplinkas, kurti inovatyvias edukacines erdves – Mokyklos veikla buvo orientuota į edukacinių aplinkų kūrimą, patalpų būklės atnaujinimą, šiuolaikinių ugdymo(si) priemonių įsigijimą. Papildyti Mokyklos bibliotekos fondai ir mokymo priemonės už 3,8 tūkst. Eur, įsigyta skaitmeninių laikmenų matematikos, ekonomikos mokymui bei licencijų lietuvių kalbos mokymui už 0,8 tūkst. Eur, panaudojus skaitmeninei plėtrai skirtas lėšas, už 2,6 tūkst. Eur įsigyti 3 projektoriai, 1 stacionarus kompiuteris, 4 konferencinės įrangos komplektai. Gauti 3 mobilaus vaizdo įrašymo ir transliavimo įrenginiai hibridiniam mokymui už 3,2 tūkst. Eur bei 10 nešiojamų kompiuterių už 6,9 tūkst. Eur. Atlikta patalpų kasmetinio remonto darbų už 2,0 tūkst. Eur.</w:t>
            </w:r>
          </w:p>
          <w:p w:rsidR="0033600E" w:rsidRDefault="0033600E" w:rsidP="00F044C5">
            <w:pPr>
              <w:spacing w:line="256" w:lineRule="auto"/>
              <w:ind w:firstLine="603"/>
              <w:jc w:val="both"/>
            </w:pPr>
            <w:r>
              <w:t>2021 m. Mokyklos finansinė situacija buvo tokia:</w:t>
            </w:r>
          </w:p>
          <w:tbl>
            <w:tblPr>
              <w:tblStyle w:val="Lentelstinklelis"/>
              <w:tblW w:w="0" w:type="auto"/>
              <w:tblInd w:w="31" w:type="dxa"/>
              <w:tblLook w:val="04A0" w:firstRow="1" w:lastRow="0" w:firstColumn="1" w:lastColumn="0" w:noHBand="0" w:noVBand="1"/>
            </w:tblPr>
            <w:tblGrid>
              <w:gridCol w:w="2467"/>
              <w:gridCol w:w="1470"/>
              <w:gridCol w:w="1234"/>
              <w:gridCol w:w="1283"/>
              <w:gridCol w:w="3064"/>
            </w:tblGrid>
            <w:tr w:rsidR="0033600E" w:rsidTr="00F044C5">
              <w:trPr>
                <w:tblHeader/>
              </w:trPr>
              <w:tc>
                <w:tcPr>
                  <w:tcW w:w="2550" w:type="dxa"/>
                  <w:vMerge w:val="restart"/>
                  <w:tcBorders>
                    <w:top w:val="single" w:sz="4" w:space="0" w:color="auto"/>
                    <w:left w:val="single" w:sz="4" w:space="0" w:color="auto"/>
                    <w:bottom w:val="single" w:sz="4" w:space="0" w:color="auto"/>
                    <w:right w:val="single" w:sz="4" w:space="0" w:color="auto"/>
                  </w:tcBorders>
                  <w:hideMark/>
                </w:tcPr>
                <w:p w:rsidR="0033600E" w:rsidRDefault="0033600E" w:rsidP="00F044C5">
                  <w:pPr>
                    <w:jc w:val="center"/>
                  </w:pPr>
                  <w:r>
                    <w:t>Finansavimo šaltinis</w:t>
                  </w:r>
                </w:p>
              </w:tc>
              <w:tc>
                <w:tcPr>
                  <w:tcW w:w="3795" w:type="dxa"/>
                  <w:gridSpan w:val="3"/>
                  <w:tcBorders>
                    <w:top w:val="single" w:sz="4" w:space="0" w:color="auto"/>
                    <w:left w:val="single" w:sz="4" w:space="0" w:color="auto"/>
                    <w:bottom w:val="single" w:sz="4" w:space="0" w:color="auto"/>
                    <w:right w:val="single" w:sz="4" w:space="0" w:color="auto"/>
                  </w:tcBorders>
                  <w:hideMark/>
                </w:tcPr>
                <w:p w:rsidR="0033600E" w:rsidRDefault="0033600E" w:rsidP="00F044C5">
                  <w:pPr>
                    <w:jc w:val="center"/>
                  </w:pPr>
                  <w:r>
                    <w:t>Lėšos (tūkst. Eur)</w:t>
                  </w:r>
                </w:p>
              </w:tc>
              <w:tc>
                <w:tcPr>
                  <w:tcW w:w="3173" w:type="dxa"/>
                  <w:vMerge w:val="restart"/>
                  <w:tcBorders>
                    <w:top w:val="single" w:sz="4" w:space="0" w:color="auto"/>
                    <w:left w:val="single" w:sz="4" w:space="0" w:color="auto"/>
                    <w:bottom w:val="single" w:sz="4" w:space="0" w:color="auto"/>
                    <w:right w:val="single" w:sz="4" w:space="0" w:color="auto"/>
                  </w:tcBorders>
                </w:tcPr>
                <w:p w:rsidR="0033600E" w:rsidRDefault="0033600E" w:rsidP="00F044C5">
                  <w:pPr>
                    <w:jc w:val="center"/>
                  </w:pPr>
                  <w:r>
                    <w:t>Pastabos</w:t>
                  </w:r>
                </w:p>
                <w:p w:rsidR="0033600E" w:rsidRDefault="0033600E" w:rsidP="00F044C5">
                  <w:pPr>
                    <w:jc w:val="center"/>
                  </w:pPr>
                </w:p>
              </w:tc>
            </w:tr>
            <w:tr w:rsidR="0033600E" w:rsidTr="00F044C5">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600E" w:rsidRDefault="0033600E" w:rsidP="00F044C5"/>
              </w:tc>
              <w:tc>
                <w:tcPr>
                  <w:tcW w:w="1276" w:type="dxa"/>
                  <w:tcBorders>
                    <w:top w:val="single" w:sz="4" w:space="0" w:color="auto"/>
                    <w:left w:val="single" w:sz="4" w:space="0" w:color="auto"/>
                    <w:bottom w:val="single" w:sz="4" w:space="0" w:color="auto"/>
                    <w:right w:val="single" w:sz="4" w:space="0" w:color="auto"/>
                  </w:tcBorders>
                  <w:hideMark/>
                </w:tcPr>
                <w:p w:rsidR="0033600E" w:rsidRDefault="0033600E" w:rsidP="00F044C5">
                  <w:pPr>
                    <w:jc w:val="center"/>
                  </w:pPr>
                  <w:r>
                    <w:t>Planas (patikslintas)</w:t>
                  </w:r>
                </w:p>
              </w:tc>
              <w:tc>
                <w:tcPr>
                  <w:tcW w:w="1236" w:type="dxa"/>
                  <w:tcBorders>
                    <w:top w:val="single" w:sz="4" w:space="0" w:color="auto"/>
                    <w:left w:val="single" w:sz="4" w:space="0" w:color="auto"/>
                    <w:bottom w:val="single" w:sz="4" w:space="0" w:color="auto"/>
                    <w:right w:val="single" w:sz="4" w:space="0" w:color="auto"/>
                  </w:tcBorders>
                  <w:hideMark/>
                </w:tcPr>
                <w:p w:rsidR="0033600E" w:rsidRDefault="0033600E" w:rsidP="00F044C5">
                  <w:pPr>
                    <w:jc w:val="center"/>
                  </w:pPr>
                  <w:r>
                    <w:t>Panaudota lėšų</w:t>
                  </w:r>
                </w:p>
              </w:tc>
              <w:tc>
                <w:tcPr>
                  <w:tcW w:w="1283" w:type="dxa"/>
                  <w:tcBorders>
                    <w:top w:val="single" w:sz="4" w:space="0" w:color="auto"/>
                    <w:left w:val="single" w:sz="4" w:space="0" w:color="auto"/>
                    <w:bottom w:val="single" w:sz="4" w:space="0" w:color="auto"/>
                    <w:right w:val="single" w:sz="4" w:space="0" w:color="auto"/>
                  </w:tcBorders>
                  <w:hideMark/>
                </w:tcPr>
                <w:p w:rsidR="0033600E" w:rsidRDefault="0033600E" w:rsidP="00F044C5">
                  <w:pPr>
                    <w:jc w:val="center"/>
                  </w:pPr>
                  <w:r>
                    <w:t>Įvykdymas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600E" w:rsidRDefault="0033600E" w:rsidP="00F044C5"/>
              </w:tc>
            </w:tr>
            <w:tr w:rsidR="0033600E" w:rsidTr="00F044C5">
              <w:trPr>
                <w:trHeight w:val="415"/>
              </w:trPr>
              <w:tc>
                <w:tcPr>
                  <w:tcW w:w="2550" w:type="dxa"/>
                  <w:tcBorders>
                    <w:top w:val="single" w:sz="4" w:space="0" w:color="auto"/>
                    <w:left w:val="single" w:sz="4" w:space="0" w:color="auto"/>
                    <w:bottom w:val="single" w:sz="4" w:space="0" w:color="auto"/>
                    <w:right w:val="single" w:sz="4" w:space="0" w:color="auto"/>
                  </w:tcBorders>
                  <w:hideMark/>
                </w:tcPr>
                <w:p w:rsidR="0033600E" w:rsidRDefault="0033600E" w:rsidP="00F044C5">
                  <w:pPr>
                    <w:rPr>
                      <w:szCs w:val="20"/>
                    </w:rPr>
                  </w:pPr>
                  <w:r>
                    <w:t>Savivaldybės biudžetas (SB)</w:t>
                  </w:r>
                </w:p>
              </w:tc>
              <w:tc>
                <w:tcPr>
                  <w:tcW w:w="1276" w:type="dxa"/>
                  <w:tcBorders>
                    <w:top w:val="single" w:sz="4" w:space="0" w:color="auto"/>
                    <w:left w:val="single" w:sz="4" w:space="0" w:color="auto"/>
                    <w:bottom w:val="single" w:sz="4" w:space="0" w:color="auto"/>
                    <w:right w:val="single" w:sz="4" w:space="0" w:color="auto"/>
                  </w:tcBorders>
                  <w:hideMark/>
                </w:tcPr>
                <w:p w:rsidR="0033600E" w:rsidRDefault="0033600E" w:rsidP="00F044C5">
                  <w:pPr>
                    <w:jc w:val="center"/>
                  </w:pPr>
                  <w:r>
                    <w:t>328,5</w:t>
                  </w:r>
                </w:p>
              </w:tc>
              <w:tc>
                <w:tcPr>
                  <w:tcW w:w="1236" w:type="dxa"/>
                  <w:tcBorders>
                    <w:top w:val="single" w:sz="4" w:space="0" w:color="auto"/>
                    <w:left w:val="single" w:sz="4" w:space="0" w:color="auto"/>
                    <w:bottom w:val="single" w:sz="4" w:space="0" w:color="auto"/>
                    <w:right w:val="single" w:sz="4" w:space="0" w:color="auto"/>
                  </w:tcBorders>
                  <w:hideMark/>
                </w:tcPr>
                <w:p w:rsidR="0033600E" w:rsidRDefault="0033600E" w:rsidP="00F044C5">
                  <w:pPr>
                    <w:jc w:val="center"/>
                  </w:pPr>
                  <w:r>
                    <w:t>294,2</w:t>
                  </w:r>
                </w:p>
              </w:tc>
              <w:tc>
                <w:tcPr>
                  <w:tcW w:w="1283" w:type="dxa"/>
                  <w:tcBorders>
                    <w:top w:val="single" w:sz="4" w:space="0" w:color="auto"/>
                    <w:left w:val="single" w:sz="4" w:space="0" w:color="auto"/>
                    <w:bottom w:val="single" w:sz="4" w:space="0" w:color="auto"/>
                    <w:right w:val="single" w:sz="4" w:space="0" w:color="auto"/>
                  </w:tcBorders>
                  <w:hideMark/>
                </w:tcPr>
                <w:p w:rsidR="0033600E" w:rsidRDefault="0033600E" w:rsidP="00F044C5">
                  <w:pPr>
                    <w:jc w:val="center"/>
                  </w:pPr>
                  <w:r>
                    <w:t>89,56</w:t>
                  </w:r>
                </w:p>
              </w:tc>
              <w:tc>
                <w:tcPr>
                  <w:tcW w:w="3173" w:type="dxa"/>
                  <w:tcBorders>
                    <w:top w:val="single" w:sz="4" w:space="0" w:color="auto"/>
                    <w:left w:val="single" w:sz="4" w:space="0" w:color="auto"/>
                    <w:bottom w:val="single" w:sz="4" w:space="0" w:color="auto"/>
                    <w:right w:val="single" w:sz="4" w:space="0" w:color="auto"/>
                  </w:tcBorders>
                  <w:hideMark/>
                </w:tcPr>
                <w:p w:rsidR="0033600E" w:rsidRDefault="0033600E" w:rsidP="00F044C5">
                  <w:pPr>
                    <w:jc w:val="both"/>
                  </w:pPr>
                  <w:r>
                    <w:t xml:space="preserve">Nepanaudota dalis lėšų, skirtų mitybos, transporto išlaikymo ir transporto įsigijimo išlaidoms, dėl pandemijos metu vykdyto nuotolinio ugdymo </w:t>
                  </w:r>
                </w:p>
              </w:tc>
            </w:tr>
            <w:tr w:rsidR="0033600E" w:rsidTr="00F044C5">
              <w:tc>
                <w:tcPr>
                  <w:tcW w:w="2550" w:type="dxa"/>
                  <w:tcBorders>
                    <w:top w:val="single" w:sz="4" w:space="0" w:color="auto"/>
                    <w:left w:val="single" w:sz="4" w:space="0" w:color="auto"/>
                    <w:bottom w:val="single" w:sz="4" w:space="0" w:color="auto"/>
                    <w:right w:val="single" w:sz="4" w:space="0" w:color="auto"/>
                  </w:tcBorders>
                  <w:hideMark/>
                </w:tcPr>
                <w:p w:rsidR="0033600E" w:rsidRDefault="0033600E" w:rsidP="00F044C5">
                  <w:r>
                    <w:t>Specialioji tikslinė dotacija (VB)</w:t>
                  </w:r>
                </w:p>
              </w:tc>
              <w:tc>
                <w:tcPr>
                  <w:tcW w:w="1276" w:type="dxa"/>
                  <w:tcBorders>
                    <w:top w:val="single" w:sz="4" w:space="0" w:color="auto"/>
                    <w:left w:val="single" w:sz="4" w:space="0" w:color="auto"/>
                    <w:bottom w:val="single" w:sz="4" w:space="0" w:color="auto"/>
                    <w:right w:val="single" w:sz="4" w:space="0" w:color="auto"/>
                  </w:tcBorders>
                  <w:hideMark/>
                </w:tcPr>
                <w:p w:rsidR="0033600E" w:rsidRDefault="0033600E" w:rsidP="00F044C5">
                  <w:pPr>
                    <w:jc w:val="center"/>
                  </w:pPr>
                  <w:r>
                    <w:t>381,5</w:t>
                  </w:r>
                </w:p>
              </w:tc>
              <w:tc>
                <w:tcPr>
                  <w:tcW w:w="1236" w:type="dxa"/>
                  <w:tcBorders>
                    <w:top w:val="single" w:sz="4" w:space="0" w:color="auto"/>
                    <w:left w:val="single" w:sz="4" w:space="0" w:color="auto"/>
                    <w:bottom w:val="single" w:sz="4" w:space="0" w:color="auto"/>
                    <w:right w:val="single" w:sz="4" w:space="0" w:color="auto"/>
                  </w:tcBorders>
                  <w:hideMark/>
                </w:tcPr>
                <w:p w:rsidR="0033600E" w:rsidRDefault="0033600E" w:rsidP="00F044C5">
                  <w:pPr>
                    <w:jc w:val="center"/>
                  </w:pPr>
                  <w:r>
                    <w:t>377,3</w:t>
                  </w:r>
                </w:p>
              </w:tc>
              <w:tc>
                <w:tcPr>
                  <w:tcW w:w="1283" w:type="dxa"/>
                  <w:tcBorders>
                    <w:top w:val="single" w:sz="4" w:space="0" w:color="auto"/>
                    <w:left w:val="single" w:sz="4" w:space="0" w:color="auto"/>
                    <w:bottom w:val="single" w:sz="4" w:space="0" w:color="auto"/>
                    <w:right w:val="single" w:sz="4" w:space="0" w:color="auto"/>
                  </w:tcBorders>
                  <w:hideMark/>
                </w:tcPr>
                <w:p w:rsidR="0033600E" w:rsidRDefault="0033600E" w:rsidP="00F044C5">
                  <w:pPr>
                    <w:jc w:val="center"/>
                  </w:pPr>
                  <w:r>
                    <w:t>98,91</w:t>
                  </w:r>
                </w:p>
              </w:tc>
              <w:tc>
                <w:tcPr>
                  <w:tcW w:w="3173" w:type="dxa"/>
                  <w:tcBorders>
                    <w:top w:val="single" w:sz="4" w:space="0" w:color="auto"/>
                    <w:left w:val="single" w:sz="4" w:space="0" w:color="auto"/>
                    <w:bottom w:val="single" w:sz="4" w:space="0" w:color="auto"/>
                    <w:right w:val="single" w:sz="4" w:space="0" w:color="auto"/>
                  </w:tcBorders>
                  <w:hideMark/>
                </w:tcPr>
                <w:p w:rsidR="0033600E" w:rsidRDefault="0033600E" w:rsidP="00F044C5">
                  <w:pPr>
                    <w:jc w:val="both"/>
                  </w:pPr>
                  <w:r>
                    <w:t>Nepanaudota dalis lėšų, skirtų k</w:t>
                  </w:r>
                  <w:r>
                    <w:rPr>
                      <w:color w:val="000000"/>
                    </w:rPr>
                    <w:t xml:space="preserve">onsultacijoms mokymosi praradimams kompensuoti, </w:t>
                  </w:r>
                  <w:r>
                    <w:t>nes lėšos mokykloms buvo paskirstytos tik 2021 m. spalio mėnesį ir nepavyko jų visų įsisavinti. Taip pat nepanaudota dalis lėšų, skirtų nemokamo maitinimo išlaidų kompensavimui, dėl vykdyto nuotolinio ugdymo pandemijos metu</w:t>
                  </w:r>
                </w:p>
              </w:tc>
            </w:tr>
            <w:tr w:rsidR="0033600E" w:rsidTr="00F044C5">
              <w:tc>
                <w:tcPr>
                  <w:tcW w:w="2550" w:type="dxa"/>
                  <w:tcBorders>
                    <w:top w:val="single" w:sz="4" w:space="0" w:color="auto"/>
                    <w:left w:val="single" w:sz="4" w:space="0" w:color="auto"/>
                    <w:bottom w:val="single" w:sz="4" w:space="0" w:color="auto"/>
                    <w:right w:val="single" w:sz="4" w:space="0" w:color="auto"/>
                  </w:tcBorders>
                  <w:hideMark/>
                </w:tcPr>
                <w:p w:rsidR="0033600E" w:rsidRDefault="0033600E" w:rsidP="00F044C5">
                  <w:r>
                    <w:t>Įstaigos gautos pajamos (surinkta pajamų SP), iš jų:</w:t>
                  </w:r>
                </w:p>
              </w:tc>
              <w:tc>
                <w:tcPr>
                  <w:tcW w:w="1276" w:type="dxa"/>
                  <w:tcBorders>
                    <w:top w:val="single" w:sz="4" w:space="0" w:color="auto"/>
                    <w:left w:val="single" w:sz="4" w:space="0" w:color="auto"/>
                    <w:bottom w:val="single" w:sz="4" w:space="0" w:color="auto"/>
                    <w:right w:val="single" w:sz="4" w:space="0" w:color="auto"/>
                  </w:tcBorders>
                  <w:hideMark/>
                </w:tcPr>
                <w:p w:rsidR="0033600E" w:rsidRDefault="0033600E" w:rsidP="00F044C5">
                  <w:pPr>
                    <w:jc w:val="center"/>
                  </w:pPr>
                  <w:r>
                    <w:t>2,1</w:t>
                  </w:r>
                </w:p>
              </w:tc>
              <w:tc>
                <w:tcPr>
                  <w:tcW w:w="1236" w:type="dxa"/>
                  <w:tcBorders>
                    <w:top w:val="single" w:sz="4" w:space="0" w:color="auto"/>
                    <w:left w:val="single" w:sz="4" w:space="0" w:color="auto"/>
                    <w:bottom w:val="single" w:sz="4" w:space="0" w:color="auto"/>
                    <w:right w:val="single" w:sz="4" w:space="0" w:color="auto"/>
                  </w:tcBorders>
                  <w:hideMark/>
                </w:tcPr>
                <w:p w:rsidR="0033600E" w:rsidRDefault="0033600E" w:rsidP="00F044C5">
                  <w:pPr>
                    <w:jc w:val="center"/>
                  </w:pPr>
                  <w:r>
                    <w:t>2,1</w:t>
                  </w:r>
                </w:p>
              </w:tc>
              <w:tc>
                <w:tcPr>
                  <w:tcW w:w="1283" w:type="dxa"/>
                  <w:tcBorders>
                    <w:top w:val="single" w:sz="4" w:space="0" w:color="auto"/>
                    <w:left w:val="single" w:sz="4" w:space="0" w:color="auto"/>
                    <w:bottom w:val="single" w:sz="4" w:space="0" w:color="auto"/>
                    <w:right w:val="single" w:sz="4" w:space="0" w:color="auto"/>
                  </w:tcBorders>
                  <w:hideMark/>
                </w:tcPr>
                <w:p w:rsidR="0033600E" w:rsidRDefault="0033600E" w:rsidP="00F044C5">
                  <w:pPr>
                    <w:jc w:val="center"/>
                  </w:pPr>
                  <w:r>
                    <w:t>100</w:t>
                  </w:r>
                </w:p>
              </w:tc>
              <w:tc>
                <w:tcPr>
                  <w:tcW w:w="3173" w:type="dxa"/>
                  <w:tcBorders>
                    <w:top w:val="single" w:sz="4" w:space="0" w:color="auto"/>
                    <w:left w:val="single" w:sz="4" w:space="0" w:color="auto"/>
                    <w:bottom w:val="single" w:sz="4" w:space="0" w:color="auto"/>
                    <w:right w:val="single" w:sz="4" w:space="0" w:color="auto"/>
                  </w:tcBorders>
                </w:tcPr>
                <w:p w:rsidR="0033600E" w:rsidRDefault="0033600E" w:rsidP="00F044C5">
                  <w:pPr>
                    <w:jc w:val="both"/>
                  </w:pPr>
                </w:p>
              </w:tc>
            </w:tr>
            <w:tr w:rsidR="0033600E" w:rsidTr="00F044C5">
              <w:trPr>
                <w:trHeight w:val="143"/>
              </w:trPr>
              <w:tc>
                <w:tcPr>
                  <w:tcW w:w="2550" w:type="dxa"/>
                  <w:tcBorders>
                    <w:top w:val="single" w:sz="4" w:space="0" w:color="auto"/>
                    <w:left w:val="single" w:sz="4" w:space="0" w:color="auto"/>
                    <w:bottom w:val="single" w:sz="4" w:space="0" w:color="auto"/>
                    <w:right w:val="single" w:sz="4" w:space="0" w:color="auto"/>
                  </w:tcBorders>
                  <w:hideMark/>
                </w:tcPr>
                <w:p w:rsidR="0033600E" w:rsidRDefault="0033600E" w:rsidP="00F044C5">
                  <w:r>
                    <w:t>Pajamų išlaidos (SP)</w:t>
                  </w:r>
                </w:p>
              </w:tc>
              <w:tc>
                <w:tcPr>
                  <w:tcW w:w="1276" w:type="dxa"/>
                  <w:tcBorders>
                    <w:top w:val="single" w:sz="4" w:space="0" w:color="auto"/>
                    <w:left w:val="single" w:sz="4" w:space="0" w:color="auto"/>
                    <w:bottom w:val="single" w:sz="4" w:space="0" w:color="auto"/>
                    <w:right w:val="single" w:sz="4" w:space="0" w:color="auto"/>
                  </w:tcBorders>
                  <w:hideMark/>
                </w:tcPr>
                <w:p w:rsidR="0033600E" w:rsidRDefault="0033600E" w:rsidP="00F044C5">
                  <w:pPr>
                    <w:jc w:val="center"/>
                  </w:pPr>
                  <w:r>
                    <w:t>2,1</w:t>
                  </w:r>
                </w:p>
              </w:tc>
              <w:tc>
                <w:tcPr>
                  <w:tcW w:w="1236" w:type="dxa"/>
                  <w:tcBorders>
                    <w:top w:val="single" w:sz="4" w:space="0" w:color="auto"/>
                    <w:left w:val="single" w:sz="4" w:space="0" w:color="auto"/>
                    <w:bottom w:val="single" w:sz="4" w:space="0" w:color="auto"/>
                    <w:right w:val="single" w:sz="4" w:space="0" w:color="auto"/>
                  </w:tcBorders>
                  <w:hideMark/>
                </w:tcPr>
                <w:p w:rsidR="0033600E" w:rsidRDefault="0033600E" w:rsidP="00F044C5">
                  <w:pPr>
                    <w:jc w:val="center"/>
                  </w:pPr>
                  <w:r>
                    <w:t>2,1</w:t>
                  </w:r>
                </w:p>
              </w:tc>
              <w:tc>
                <w:tcPr>
                  <w:tcW w:w="1283" w:type="dxa"/>
                  <w:tcBorders>
                    <w:top w:val="single" w:sz="4" w:space="0" w:color="auto"/>
                    <w:left w:val="single" w:sz="4" w:space="0" w:color="auto"/>
                    <w:bottom w:val="single" w:sz="4" w:space="0" w:color="auto"/>
                    <w:right w:val="single" w:sz="4" w:space="0" w:color="auto"/>
                  </w:tcBorders>
                  <w:hideMark/>
                </w:tcPr>
                <w:p w:rsidR="0033600E" w:rsidRDefault="0033600E" w:rsidP="00F044C5">
                  <w:pPr>
                    <w:jc w:val="center"/>
                  </w:pPr>
                  <w:r>
                    <w:t>100</w:t>
                  </w:r>
                </w:p>
              </w:tc>
              <w:tc>
                <w:tcPr>
                  <w:tcW w:w="3173" w:type="dxa"/>
                  <w:tcBorders>
                    <w:top w:val="single" w:sz="4" w:space="0" w:color="auto"/>
                    <w:left w:val="single" w:sz="4" w:space="0" w:color="auto"/>
                    <w:bottom w:val="single" w:sz="4" w:space="0" w:color="auto"/>
                    <w:right w:val="single" w:sz="4" w:space="0" w:color="auto"/>
                  </w:tcBorders>
                </w:tcPr>
                <w:p w:rsidR="0033600E" w:rsidRDefault="0033600E" w:rsidP="00F044C5"/>
              </w:tc>
            </w:tr>
            <w:tr w:rsidR="0033600E" w:rsidTr="00F044C5">
              <w:trPr>
                <w:trHeight w:val="125"/>
              </w:trPr>
              <w:tc>
                <w:tcPr>
                  <w:tcW w:w="2550" w:type="dxa"/>
                  <w:tcBorders>
                    <w:top w:val="single" w:sz="4" w:space="0" w:color="auto"/>
                    <w:left w:val="single" w:sz="4" w:space="0" w:color="auto"/>
                    <w:bottom w:val="single" w:sz="4" w:space="0" w:color="auto"/>
                    <w:right w:val="single" w:sz="4" w:space="0" w:color="auto"/>
                  </w:tcBorders>
                  <w:hideMark/>
                </w:tcPr>
                <w:p w:rsidR="0033600E" w:rsidRDefault="0033600E" w:rsidP="00F044C5">
                  <w:r>
                    <w:t>Projektų finansavimas (ES; VB; SB)</w:t>
                  </w:r>
                </w:p>
              </w:tc>
              <w:tc>
                <w:tcPr>
                  <w:tcW w:w="1276" w:type="dxa"/>
                  <w:tcBorders>
                    <w:top w:val="single" w:sz="4" w:space="0" w:color="auto"/>
                    <w:left w:val="single" w:sz="4" w:space="0" w:color="auto"/>
                    <w:bottom w:val="single" w:sz="4" w:space="0" w:color="auto"/>
                    <w:right w:val="single" w:sz="4" w:space="0" w:color="auto"/>
                  </w:tcBorders>
                  <w:hideMark/>
                </w:tcPr>
                <w:p w:rsidR="0033600E" w:rsidRDefault="0033600E" w:rsidP="00F044C5">
                  <w:pPr>
                    <w:jc w:val="center"/>
                  </w:pPr>
                  <w:r>
                    <w:t>6,7</w:t>
                  </w:r>
                </w:p>
              </w:tc>
              <w:tc>
                <w:tcPr>
                  <w:tcW w:w="1236" w:type="dxa"/>
                  <w:tcBorders>
                    <w:top w:val="single" w:sz="4" w:space="0" w:color="auto"/>
                    <w:left w:val="single" w:sz="4" w:space="0" w:color="auto"/>
                    <w:bottom w:val="single" w:sz="4" w:space="0" w:color="auto"/>
                    <w:right w:val="single" w:sz="4" w:space="0" w:color="auto"/>
                  </w:tcBorders>
                  <w:hideMark/>
                </w:tcPr>
                <w:p w:rsidR="0033600E" w:rsidRDefault="0033600E" w:rsidP="00F044C5">
                  <w:pPr>
                    <w:jc w:val="center"/>
                  </w:pPr>
                  <w:r>
                    <w:t>0,0</w:t>
                  </w:r>
                </w:p>
              </w:tc>
              <w:tc>
                <w:tcPr>
                  <w:tcW w:w="1283" w:type="dxa"/>
                  <w:tcBorders>
                    <w:top w:val="single" w:sz="4" w:space="0" w:color="auto"/>
                    <w:left w:val="single" w:sz="4" w:space="0" w:color="auto"/>
                    <w:bottom w:val="single" w:sz="4" w:space="0" w:color="auto"/>
                    <w:right w:val="single" w:sz="4" w:space="0" w:color="auto"/>
                  </w:tcBorders>
                  <w:hideMark/>
                </w:tcPr>
                <w:p w:rsidR="0033600E" w:rsidRDefault="0033600E" w:rsidP="00F044C5">
                  <w:pPr>
                    <w:jc w:val="center"/>
                  </w:pPr>
                  <w:r>
                    <w:t>0,0</w:t>
                  </w:r>
                </w:p>
              </w:tc>
              <w:tc>
                <w:tcPr>
                  <w:tcW w:w="3173" w:type="dxa"/>
                  <w:tcBorders>
                    <w:top w:val="single" w:sz="4" w:space="0" w:color="auto"/>
                    <w:left w:val="single" w:sz="4" w:space="0" w:color="auto"/>
                    <w:bottom w:val="single" w:sz="4" w:space="0" w:color="auto"/>
                    <w:right w:val="single" w:sz="4" w:space="0" w:color="auto"/>
                  </w:tcBorders>
                  <w:hideMark/>
                </w:tcPr>
                <w:p w:rsidR="0033600E" w:rsidRDefault="0033600E" w:rsidP="00F044C5">
                  <w:r>
                    <w:t>Projekto lėšų panaudojimas suplanuotas 2022 m.</w:t>
                  </w:r>
                </w:p>
              </w:tc>
            </w:tr>
            <w:tr w:rsidR="0033600E" w:rsidTr="00F044C5">
              <w:tc>
                <w:tcPr>
                  <w:tcW w:w="2550" w:type="dxa"/>
                  <w:tcBorders>
                    <w:top w:val="single" w:sz="4" w:space="0" w:color="auto"/>
                    <w:left w:val="single" w:sz="4" w:space="0" w:color="auto"/>
                    <w:bottom w:val="single" w:sz="4" w:space="0" w:color="auto"/>
                    <w:right w:val="single" w:sz="4" w:space="0" w:color="auto"/>
                  </w:tcBorders>
                  <w:hideMark/>
                </w:tcPr>
                <w:p w:rsidR="0033600E" w:rsidRDefault="0033600E" w:rsidP="00F044C5">
                  <w:r>
                    <w:t>Kitos lėšos (parama 2 % GM ir kt.)</w:t>
                  </w:r>
                </w:p>
              </w:tc>
              <w:tc>
                <w:tcPr>
                  <w:tcW w:w="1276" w:type="dxa"/>
                  <w:tcBorders>
                    <w:top w:val="single" w:sz="4" w:space="0" w:color="auto"/>
                    <w:left w:val="single" w:sz="4" w:space="0" w:color="auto"/>
                    <w:bottom w:val="single" w:sz="4" w:space="0" w:color="auto"/>
                    <w:right w:val="single" w:sz="4" w:space="0" w:color="auto"/>
                  </w:tcBorders>
                  <w:hideMark/>
                </w:tcPr>
                <w:p w:rsidR="0033600E" w:rsidRDefault="0033600E" w:rsidP="00F044C5">
                  <w:pPr>
                    <w:jc w:val="center"/>
                  </w:pPr>
                  <w:r>
                    <w:t>8,3</w:t>
                  </w:r>
                </w:p>
              </w:tc>
              <w:tc>
                <w:tcPr>
                  <w:tcW w:w="1236" w:type="dxa"/>
                  <w:tcBorders>
                    <w:top w:val="single" w:sz="4" w:space="0" w:color="auto"/>
                    <w:left w:val="single" w:sz="4" w:space="0" w:color="auto"/>
                    <w:bottom w:val="single" w:sz="4" w:space="0" w:color="auto"/>
                    <w:right w:val="single" w:sz="4" w:space="0" w:color="auto"/>
                  </w:tcBorders>
                  <w:hideMark/>
                </w:tcPr>
                <w:p w:rsidR="0033600E" w:rsidRDefault="0033600E" w:rsidP="00F044C5">
                  <w:pPr>
                    <w:jc w:val="center"/>
                  </w:pPr>
                  <w:r>
                    <w:t>2,9</w:t>
                  </w:r>
                </w:p>
              </w:tc>
              <w:tc>
                <w:tcPr>
                  <w:tcW w:w="1283" w:type="dxa"/>
                  <w:tcBorders>
                    <w:top w:val="single" w:sz="4" w:space="0" w:color="auto"/>
                    <w:left w:val="single" w:sz="4" w:space="0" w:color="auto"/>
                    <w:bottom w:val="single" w:sz="4" w:space="0" w:color="auto"/>
                    <w:right w:val="single" w:sz="4" w:space="0" w:color="auto"/>
                  </w:tcBorders>
                  <w:hideMark/>
                </w:tcPr>
                <w:p w:rsidR="0033600E" w:rsidRDefault="0033600E" w:rsidP="00F044C5">
                  <w:pPr>
                    <w:jc w:val="center"/>
                  </w:pPr>
                  <w:r>
                    <w:t>35,26</w:t>
                  </w:r>
                </w:p>
              </w:tc>
              <w:tc>
                <w:tcPr>
                  <w:tcW w:w="3173" w:type="dxa"/>
                  <w:tcBorders>
                    <w:top w:val="single" w:sz="4" w:space="0" w:color="auto"/>
                    <w:left w:val="single" w:sz="4" w:space="0" w:color="auto"/>
                    <w:bottom w:val="single" w:sz="4" w:space="0" w:color="auto"/>
                    <w:right w:val="single" w:sz="4" w:space="0" w:color="auto"/>
                  </w:tcBorders>
                  <w:hideMark/>
                </w:tcPr>
                <w:p w:rsidR="0033600E" w:rsidRDefault="0033600E" w:rsidP="00F044C5">
                  <w:r>
                    <w:t xml:space="preserve">Lėšos kaupiamos tikslingai </w:t>
                  </w:r>
                </w:p>
              </w:tc>
            </w:tr>
            <w:tr w:rsidR="0033600E" w:rsidTr="00F044C5">
              <w:trPr>
                <w:trHeight w:val="152"/>
              </w:trPr>
              <w:tc>
                <w:tcPr>
                  <w:tcW w:w="2550" w:type="dxa"/>
                  <w:tcBorders>
                    <w:top w:val="single" w:sz="4" w:space="0" w:color="auto"/>
                    <w:left w:val="single" w:sz="4" w:space="0" w:color="auto"/>
                    <w:bottom w:val="single" w:sz="4" w:space="0" w:color="auto"/>
                    <w:right w:val="single" w:sz="4" w:space="0" w:color="auto"/>
                  </w:tcBorders>
                  <w:hideMark/>
                </w:tcPr>
                <w:p w:rsidR="0033600E" w:rsidRDefault="0033600E" w:rsidP="00F044C5">
                  <w:r>
                    <w:lastRenderedPageBreak/>
                    <w:t>Iš viso</w:t>
                  </w:r>
                </w:p>
              </w:tc>
              <w:tc>
                <w:tcPr>
                  <w:tcW w:w="1276" w:type="dxa"/>
                  <w:tcBorders>
                    <w:top w:val="single" w:sz="4" w:space="0" w:color="auto"/>
                    <w:left w:val="single" w:sz="4" w:space="0" w:color="auto"/>
                    <w:bottom w:val="single" w:sz="4" w:space="0" w:color="auto"/>
                    <w:right w:val="single" w:sz="4" w:space="0" w:color="auto"/>
                  </w:tcBorders>
                  <w:hideMark/>
                </w:tcPr>
                <w:p w:rsidR="0033600E" w:rsidRDefault="0033600E" w:rsidP="00F044C5">
                  <w:pPr>
                    <w:jc w:val="center"/>
                  </w:pPr>
                  <w:r>
                    <w:t xml:space="preserve">727,1 </w:t>
                  </w:r>
                </w:p>
              </w:tc>
              <w:tc>
                <w:tcPr>
                  <w:tcW w:w="1236" w:type="dxa"/>
                  <w:tcBorders>
                    <w:top w:val="single" w:sz="4" w:space="0" w:color="auto"/>
                    <w:left w:val="single" w:sz="4" w:space="0" w:color="auto"/>
                    <w:bottom w:val="single" w:sz="4" w:space="0" w:color="auto"/>
                    <w:right w:val="single" w:sz="4" w:space="0" w:color="auto"/>
                  </w:tcBorders>
                  <w:hideMark/>
                </w:tcPr>
                <w:p w:rsidR="0033600E" w:rsidRDefault="0033600E" w:rsidP="00F044C5">
                  <w:pPr>
                    <w:jc w:val="center"/>
                  </w:pPr>
                  <w:r>
                    <w:t>676,5</w:t>
                  </w:r>
                </w:p>
              </w:tc>
              <w:tc>
                <w:tcPr>
                  <w:tcW w:w="1283" w:type="dxa"/>
                  <w:tcBorders>
                    <w:top w:val="single" w:sz="4" w:space="0" w:color="auto"/>
                    <w:left w:val="single" w:sz="4" w:space="0" w:color="auto"/>
                    <w:bottom w:val="single" w:sz="4" w:space="0" w:color="auto"/>
                    <w:right w:val="single" w:sz="4" w:space="0" w:color="auto"/>
                  </w:tcBorders>
                  <w:hideMark/>
                </w:tcPr>
                <w:p w:rsidR="0033600E" w:rsidRDefault="0033600E" w:rsidP="00F044C5">
                  <w:pPr>
                    <w:jc w:val="center"/>
                  </w:pPr>
                  <w:r>
                    <w:t>93,04</w:t>
                  </w:r>
                </w:p>
              </w:tc>
              <w:tc>
                <w:tcPr>
                  <w:tcW w:w="3173" w:type="dxa"/>
                  <w:tcBorders>
                    <w:top w:val="single" w:sz="4" w:space="0" w:color="auto"/>
                    <w:left w:val="single" w:sz="4" w:space="0" w:color="auto"/>
                    <w:bottom w:val="single" w:sz="4" w:space="0" w:color="auto"/>
                    <w:right w:val="single" w:sz="4" w:space="0" w:color="auto"/>
                  </w:tcBorders>
                  <w:hideMark/>
                </w:tcPr>
                <w:p w:rsidR="0033600E" w:rsidRDefault="0033600E" w:rsidP="00F044C5">
                  <w:r>
                    <w:t xml:space="preserve"> </w:t>
                  </w:r>
                </w:p>
              </w:tc>
            </w:tr>
            <w:tr w:rsidR="0033600E" w:rsidTr="00F044C5">
              <w:tc>
                <w:tcPr>
                  <w:tcW w:w="6345" w:type="dxa"/>
                  <w:gridSpan w:val="4"/>
                  <w:tcBorders>
                    <w:top w:val="single" w:sz="4" w:space="0" w:color="auto"/>
                    <w:left w:val="single" w:sz="4" w:space="0" w:color="auto"/>
                    <w:bottom w:val="single" w:sz="4" w:space="0" w:color="auto"/>
                    <w:right w:val="single" w:sz="4" w:space="0" w:color="auto"/>
                  </w:tcBorders>
                  <w:hideMark/>
                </w:tcPr>
                <w:p w:rsidR="0033600E" w:rsidRDefault="0033600E" w:rsidP="00F044C5">
                  <w:r>
                    <w:t>Kreditinis įsiskolinimas (pagal visus finansavimo šaltinius) 2022 m. sausio 1 d. – 0,004 tūkst. Eur</w:t>
                  </w:r>
                </w:p>
              </w:tc>
              <w:tc>
                <w:tcPr>
                  <w:tcW w:w="3173" w:type="dxa"/>
                  <w:tcBorders>
                    <w:top w:val="single" w:sz="4" w:space="0" w:color="auto"/>
                    <w:left w:val="single" w:sz="4" w:space="0" w:color="auto"/>
                    <w:bottom w:val="single" w:sz="4" w:space="0" w:color="auto"/>
                    <w:right w:val="single" w:sz="4" w:space="0" w:color="auto"/>
                  </w:tcBorders>
                  <w:hideMark/>
                </w:tcPr>
                <w:p w:rsidR="0033600E" w:rsidRDefault="0033600E" w:rsidP="00F044C5">
                  <w:pPr>
                    <w:jc w:val="both"/>
                  </w:pPr>
                  <w:r>
                    <w:t>Paslaugų tiekėjo sąskaita už gruodžio mėn. išrašyta tik kito mėnesio (sausio) pradžioje</w:t>
                  </w:r>
                </w:p>
              </w:tc>
            </w:tr>
          </w:tbl>
          <w:p w:rsidR="0033600E" w:rsidRDefault="0033600E" w:rsidP="00F044C5">
            <w:pPr>
              <w:spacing w:line="256" w:lineRule="auto"/>
              <w:ind w:right="-22" w:firstLine="601"/>
              <w:jc w:val="both"/>
              <w:rPr>
                <w:color w:val="FF0000"/>
                <w:szCs w:val="20"/>
              </w:rPr>
            </w:pPr>
            <w:r>
              <w:t>Klaipėdos miesto savivaldybės administracijos Centralizuotas vidaus audito skyrius 2021-07-13–2021-09-17 vykdė planinį vidaus auditą „Klaipėdos jūrų kadetų mokyklos veiklos ir valdymo vertinimas“. Vertinimo išvadoje teigiama, jog vidaus kontrolė vykdant klasių komplektavimą, personalo valdymą, lėšų darbo užmokesčiui panaudojimą, turto valdymą yra gera, rizika yra nustatyta ir valdoma. Nustatyta keletas trūkumų, neturinčių įtakos viešojo juridinio asmens veiklos rezultatams, ir pateiktos rekomendacijos: 1) patikslinti pareigybių aprašymus; 2) darbo sutartis pildyti vadovaujantis Darbo kodekso nuostatomis; 3) kasmetinio vertinimo procedūras atlikti pagal teisės aktų reikalavimus; 4) patikslinti Darbo apmokėjimo sistemą. Atsižvelgiant į auditoriaus pateiktas rekomendacijas, parengtas rekomendacijų įgyvendinimo priemonių planas. Priemonės, kurių įgyvendinimas buvo numatytas 2021 m., įgyvendintos. Kitų tikrinimų organizuota nebuvo.</w:t>
            </w:r>
            <w:r>
              <w:rPr>
                <w:color w:val="FF0000"/>
              </w:rPr>
              <w:t xml:space="preserve"> </w:t>
            </w:r>
          </w:p>
          <w:p w:rsidR="0033600E" w:rsidRDefault="0033600E" w:rsidP="00F044C5">
            <w:pPr>
              <w:spacing w:line="256" w:lineRule="auto"/>
              <w:ind w:firstLine="603"/>
              <w:jc w:val="both"/>
            </w:pPr>
            <w:r>
              <w:t>2021 m. Mokykloje liko neišspręstos tokios vidaus ir išorės faktorių sąlygotos problemos: 1) dėl ilgai trukusio nuotolinio mokymo(si) suprastėjo mokinių žinių lygis, mokymosi įgūdžiai,  padaugėjo mokinių, turinčių mokymosi spragų; suprastėjo dalies mokinių emocinė savijauta ir išryškėjo psichologinės, socialinės bendravimo problemos; dėl COVID-19 pandemijos valdymo Mokyklos pedagogai ir administracija vykdė daug su ugdymu nesusijusių funkcijų, atsirado veiklų, kurios pareikalavo papildomų žmogiškųjų išteklių; 2) reikalinga Mokyklos pastato renovacija;  reikalingas elektros instaliacijos atnaujinimas; neveikia vėdinimo sistemos.</w:t>
            </w:r>
          </w:p>
          <w:p w:rsidR="0033600E" w:rsidRDefault="0033600E" w:rsidP="00F044C5">
            <w:pPr>
              <w:spacing w:line="256" w:lineRule="auto"/>
              <w:ind w:firstLine="720"/>
              <w:jc w:val="both"/>
            </w:pPr>
            <w:r>
              <w:t>Planuodama 2022 m. veiklą, Mokyklos bendruomenė susitarė dėl tokių veiklos prioritetų: kiekvieno mokinio gebėjimų pažinimas, siekiant individualios pažangos bei</w:t>
            </w:r>
            <w:r>
              <w:rPr>
                <w:b/>
              </w:rPr>
              <w:t xml:space="preserve"> </w:t>
            </w:r>
            <w:r>
              <w:t>dalykinių ir bendrųjų kompetencijų dermės;</w:t>
            </w:r>
            <w:bookmarkStart w:id="2" w:name="_heading=h.tdedbqf6mmpv"/>
            <w:bookmarkEnd w:id="2"/>
            <w:r>
              <w:t xml:space="preserve"> saugios ir pozityvios aplinkos kūrimas, pilietinio ir jūrinio Mokyklos bendruomenės identiteto stiprinimas</w:t>
            </w:r>
          </w:p>
        </w:tc>
      </w:tr>
    </w:tbl>
    <w:p w:rsidR="0033600E" w:rsidRDefault="0033600E" w:rsidP="0033600E">
      <w:pPr>
        <w:rPr>
          <w:b/>
          <w:lang w:eastAsia="lt-LT"/>
        </w:rPr>
      </w:pPr>
    </w:p>
    <w:p w:rsidR="0033600E" w:rsidRDefault="0033600E" w:rsidP="0033600E">
      <w:pPr>
        <w:rPr>
          <w:b/>
          <w:lang w:eastAsia="lt-LT"/>
        </w:rPr>
      </w:pPr>
    </w:p>
    <w:p w:rsidR="0033600E" w:rsidRPr="007617D7" w:rsidRDefault="0033600E" w:rsidP="0033600E">
      <w:r w:rsidRPr="007617D7">
        <w:rPr>
          <w:lang w:eastAsia="lt-LT"/>
        </w:rPr>
        <w:t xml:space="preserve">Direktorė </w:t>
      </w:r>
      <w:r>
        <w:rPr>
          <w:lang w:eastAsia="lt-LT"/>
        </w:rPr>
        <w:t xml:space="preserve">                                                                                                          </w:t>
      </w:r>
      <w:r w:rsidRPr="007617D7">
        <w:rPr>
          <w:lang w:eastAsia="lt-LT"/>
        </w:rPr>
        <w:t xml:space="preserve">Gražina Skunčikienė </w:t>
      </w:r>
    </w:p>
    <w:p w:rsidR="004C067A" w:rsidRDefault="004C067A" w:rsidP="004C067A">
      <w:bookmarkStart w:id="3" w:name="_GoBack"/>
      <w:bookmarkEnd w:id="3"/>
    </w:p>
    <w:p w:rsidR="00D57F27" w:rsidRPr="00832CC9" w:rsidRDefault="004C067A" w:rsidP="004C067A">
      <w:pPr>
        <w:jc w:val="center"/>
      </w:pPr>
      <w:r>
        <w:t>_______________________</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F13D83">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9615E"/>
    <w:rsid w:val="0033600E"/>
    <w:rsid w:val="0034183E"/>
    <w:rsid w:val="004476DD"/>
    <w:rsid w:val="004C067A"/>
    <w:rsid w:val="00597EE8"/>
    <w:rsid w:val="005B434A"/>
    <w:rsid w:val="005F495C"/>
    <w:rsid w:val="00616F5A"/>
    <w:rsid w:val="00677042"/>
    <w:rsid w:val="007B1666"/>
    <w:rsid w:val="00832CC9"/>
    <w:rsid w:val="008354D5"/>
    <w:rsid w:val="008E6E82"/>
    <w:rsid w:val="00A339BB"/>
    <w:rsid w:val="00AF7D08"/>
    <w:rsid w:val="00B750B6"/>
    <w:rsid w:val="00C57681"/>
    <w:rsid w:val="00CA4D3B"/>
    <w:rsid w:val="00D42B72"/>
    <w:rsid w:val="00D57F27"/>
    <w:rsid w:val="00DD319C"/>
    <w:rsid w:val="00E33871"/>
    <w:rsid w:val="00E56A73"/>
    <w:rsid w:val="00F1275A"/>
    <w:rsid w:val="00F13D83"/>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8433</Words>
  <Characters>4807</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Ieva Minelgienė</cp:lastModifiedBy>
  <cp:revision>15</cp:revision>
  <dcterms:created xsi:type="dcterms:W3CDTF">2013-10-25T06:49:00Z</dcterms:created>
  <dcterms:modified xsi:type="dcterms:W3CDTF">2022-04-29T07:45:00Z</dcterms:modified>
</cp:coreProperties>
</file>